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bdr w:val="none" w:color="auto" w:sz="0" w:space="0"/>
          <w:shd w:val="clear" w:fill="FFFFFF"/>
        </w:rPr>
        <w:t>运城市2024年教师资格认定指定体检医院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1329"/>
        <w:gridCol w:w="32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3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行政区划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医疗机构名称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盐湖区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运城市中心医院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9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山西盈康一生总医院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29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运城市人民医院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29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运城市中医医院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29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运城市第二医院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29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运城市盐湖区人民医院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河津市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河津市人民医院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永济市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永济市人民医院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临猗县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临猗县人民医院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29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临猗县中医医院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稷山县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稷山县人民医院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垣曲县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垣曲县人民医院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29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垣曲县中医医院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  县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29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夏县中医医院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平陆县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平陆县人民医院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329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平陆县中医医院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3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新绛县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新绛县人民医院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329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新绛县中医院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芮城县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芮城县人民医院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29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芮城县中医医院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闻喜县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闻喜县人民医院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329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闻喜县中医院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万荣县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万荣县人民医院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3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绛  县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绛县人民医院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CD6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2024-04-07T02:17:39Z</dcterms:created>
  <dc:creator>19219</dc:creator>
  <cp:lastModifiedBy>19219</cp:lastModifiedBy>
  <dcterms:modified xsi:type="dcterms:W3CDTF">2024-04-07T02:17:48Z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B4B1D9DB3FCF418580CC1595F85C60D0_12</vt:lpwstr>
  </property>
</Properties>
</file>