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00" w:lineRule="auto"/>
        <w:contextualSpacing/>
        <w:jc w:val="left"/>
        <w:textAlignment w:val="auto"/>
        <w:rPr>
          <w:rFonts w:ascii="宋体" w:hAnsi="宋体" w:eastAsia="宋体"/>
          <w:b w:val="0"/>
          <w:bCs w:val="0"/>
          <w:color w:val="auto"/>
          <w:sz w:val="28"/>
          <w:szCs w:val="28"/>
        </w:rPr>
      </w:pPr>
      <w:r>
        <w:rPr>
          <w:rFonts w:hint="eastAsia" w:ascii="宋体" w:hAnsi="宋体" w:eastAsia="宋体"/>
          <w:b w:val="0"/>
          <w:bCs w:val="0"/>
          <w:color w:val="auto"/>
          <w:sz w:val="28"/>
          <w:szCs w:val="28"/>
        </w:rPr>
        <w:t>附件1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contextualSpacing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桂林学院2024年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春季</w:t>
      </w: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single"/>
        </w:rPr>
        <w:t>专职教师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招聘计划信息表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长期招聘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eastAsia="zh-CN"/>
        </w:rPr>
        <w:t>“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val="en-US" w:eastAsia="zh-CN"/>
        </w:rPr>
        <w:t>至善”高层次人才，数量不限，可“一事一议”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u w:val="none"/>
          <w:lang w:eastAsia="zh-CN"/>
        </w:rPr>
        <w:t>）</w:t>
      </w:r>
    </w:p>
    <w:tbl>
      <w:tblPr>
        <w:tblStyle w:val="10"/>
        <w:tblW w:w="155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528"/>
        <w:gridCol w:w="1170"/>
        <w:gridCol w:w="632"/>
        <w:gridCol w:w="2024"/>
        <w:gridCol w:w="2024"/>
        <w:gridCol w:w="2024"/>
        <w:gridCol w:w="2024"/>
        <w:gridCol w:w="2027"/>
        <w:gridCol w:w="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contextualSpacing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  <w:lang w:val="en-US" w:eastAsia="zh-CN"/>
              </w:rPr>
              <w:t>名称</w:t>
            </w:r>
          </w:p>
        </w:tc>
        <w:tc>
          <w:tcPr>
            <w:tcW w:w="117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632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0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任职资格与条件</w:t>
            </w:r>
          </w:p>
        </w:tc>
        <w:tc>
          <w:tcPr>
            <w:tcW w:w="2027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52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学历学位／职称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学科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专业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学科范围）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工作技能能力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及其他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承担课程（至少3门）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人文学院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英语、商务英语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专业及大学英语课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GYZ2024001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职称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外国语言文学（英国语言文学）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u w:val="none"/>
                <w:lang w:val="en-US" w:eastAsia="zh-CN"/>
              </w:rPr>
              <w:t>有高校教师资格证者优先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大学英语（读写译）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大学英语（视听说）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汉英翻译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联系地址：至善楼一区103办公室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联系人：秦老师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联系电话：18877320381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mail：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loveyuyan2019@sina.com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GYZ2024002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single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汉语言文学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val="en-US" w:eastAsia="zh-CN"/>
              </w:rPr>
              <w:t>汉语国际教育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GYZ2024003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中国语言文学（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汉语言文字学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u w:val="none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古代汉语、汉语史、文字学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GYZ2024004</w:t>
            </w:r>
          </w:p>
        </w:tc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博士优先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教育学（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课程与教学论〔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有中学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语文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经历者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优先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语文课程与教学论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英语外籍专职教师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GYZ2024005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大学本科以上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母语须为英语；公安机关开具无犯罪记录证明；相关工作经验或具备教师资格证；身心健康，通过海关的健康体检。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英语口语、商务英语口语、跨文化交际、英语国家概况、中外礼仪、国际商务谈判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联系地址：至善楼8106办公室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联系人：周老师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联系电话：0773-3698322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E-mail：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glxyfzyzlpgc2023@163.com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越南语外籍专职教师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GYZ2024006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大学本科以上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母语须为越南语；公安机关开具无犯罪记录证明；相关工作经验或具备教师资格证；身心健康，通过海关的健康体检。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越南语口语、越南语口译、基础越南语、旅游越南语、经贸越南语、越南语表达与演讲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6人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教育学院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舞蹈学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GYZ2024007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艺术学（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舞蹈学〔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舞蹈表演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  <w:t>〕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专业艺术院校毕业者优先。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舞蹈理论课程、中国民族民间舞、广西民族民间舞、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嘉善楼6241办公室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联系人：黄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联系电话：0779-3696239，13481388850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mail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glxyjyxy@163.com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1人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理工学院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大学数学课专职教师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GYZ2024008</w:t>
            </w:r>
          </w:p>
        </w:tc>
        <w:tc>
          <w:tcPr>
            <w:tcW w:w="632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数学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有数学建模竞赛指导经验者优先。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数学分析、高等代数、数学建模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联系地址：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至善楼二区2112办公室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联系人：刘老师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联系电话：13481373360</w:t>
            </w:r>
          </w:p>
          <w:p>
            <w:pPr>
              <w:keepNext w:val="0"/>
              <w:keepLines w:val="0"/>
              <w:pageBreakBefore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E-mail：glxylgxy@sina.com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GYZ2024009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GYZ2024010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软件工程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大学计算机课专职教师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GYZ2024011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软件工程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资深行业人员优先且可适当放宽学历学位及学科专业要求。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软件工程导论、软件设计及体系结构、软件工程经济学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GYZ2024012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GYZ2024013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计算机科学与技术、大学计算机课专职教师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GYZ2024014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计算机科学与技术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操作系统、云计算、虚拟化技术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GYZ2024015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数据科学与大数据技术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大学计算机课专职教师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GYZ2024016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计算机科学与技术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实时计算与流式计算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大数据原理与技术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操作系统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GYZ2024017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GYZ2024018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物联网工程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大学计算机课专职教师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GYZ2024019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计算机科学与技术／软件工程／电子科学与技术／信息与通信工程／控制科学与工程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  <w:t>操作系统、计算机网络、组成原理、嵌入式开发与设计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/>
              <w:jc w:val="left"/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GYZ2024020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大学计算机课专职教师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GYZ2024021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电子科学与技术／信息与通信工程／控制科学与工程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资深行业人员优先且可适当放宽学科专业及学历学位要求；有电子类竞赛指导经验者优先。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数字信号处理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DSP原理与应用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数字图像处理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GYZ2024022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GYZ2024023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智能测控工程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大学计算机课专职教师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GYZ2024024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电子科学与技术／信息与通信工程／控制科学与工程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pBdr>
                <w:bottom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电子设计大赛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测控系统原理及应用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嵌入式系统设计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GYZ2024025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医学信息工程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大学计算机课专职教师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GYZ2024026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或中级以上职称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生物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医学工程（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生物医学信息工程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计算机科学与技术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软件工程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电子科学与技术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信息与通信工程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控制科学与工程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嵌入式系统原理及应用、医学信息系统、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</w:rPr>
              <w:t>生物医学信号分析与处理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strike w:val="0"/>
                <w:color w:val="auto"/>
                <w:sz w:val="18"/>
                <w:szCs w:val="18"/>
                <w:u w:val="none"/>
              </w:rPr>
              <w:t>医疗物联网技术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GYZ2024027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GYZ2024028</w:t>
            </w:r>
          </w:p>
        </w:tc>
        <w:tc>
          <w:tcPr>
            <w:tcW w:w="632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博士或副高级以上职称</w:t>
            </w: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21人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传媒与新闻学院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播音与主持艺术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专业及公共艺术课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GYZ2024029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新闻传播学（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广播电视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与融媒体）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具备一定的科研能力，符合“至善”高层次人才聘用条件者优先。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播音主持语音与发声、文艺作品演播、新闻节目播音主持、影视配音</w:t>
            </w:r>
          </w:p>
        </w:tc>
        <w:tc>
          <w:tcPr>
            <w:tcW w:w="2027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传媒与新闻学院121办公室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联系人：赵老师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联系电话：0773-3600078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E-mail：glxycmyxw@126.com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数字媒体技术专职教师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GYZ2024030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计算机科学与技术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／新闻传播学（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智能传播）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具备程序编程、游戏开发设计、三维建模、影视制作等能力，资深行业人员优先且可适当放宽学历学位及学科专业要求。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数字媒体技术概论、程序设计、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数据库原理与应用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游戏引擎应用与开发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游戏架构设计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三维建模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基础、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三维高级建模、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动画设计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GYZ2024031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GYZ2024032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数字出版专职教师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GYZ2024033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出版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信息资源管理（出版管理）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有出版从业经历者优先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5人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城市设计学院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环境设计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GYZ2024034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环境设计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地方优秀高校毕业者本、硕专业应一致。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展示设计、陈设设计、办公空间设计</w:t>
            </w:r>
          </w:p>
        </w:tc>
        <w:tc>
          <w:tcPr>
            <w:tcW w:w="2027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嘉善楼艺术工厂304办公室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联系人：海老师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联系电话：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5946744399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E-mail：58444428@QQ.com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数字媒体艺术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GYZ2024035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2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视觉传达与媒体设计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地方优秀高校毕业者本、硕专业应一致。有作品获省级二等奖以上者优先。擅长AE或其它视频、动画后期包装、特效软件，有一年以上工作经验、发表核心论文、参与省级以上课题组者优先。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影视后期合成与特效、AE、视听语言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GYZ2024036</w:t>
            </w:r>
          </w:p>
        </w:tc>
        <w:tc>
          <w:tcPr>
            <w:tcW w:w="6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视觉传达设计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  <w:lang w:val="en-US" w:eastAsia="zh-CN"/>
              </w:rPr>
              <w:t>公共艺术课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GYZ2024037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设计学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视觉传达与媒体设计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地方优秀高校毕业者本、硕专业应一致。有作品获国家级二等奖以上者优先。有一年以上工作经验、发表核心论文、参与省级以上课题组者优先。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AI、</w:t>
            </w:r>
            <w:r>
              <w:rPr>
                <w:rFonts w:hint="eastAsia" w:ascii="宋体" w:hAnsi="宋体" w:eastAsia="宋体" w:cs="宋体"/>
                <w:snapToGrid w:val="0"/>
                <w:color w:val="auto"/>
                <w:kern w:val="0"/>
                <w:sz w:val="18"/>
                <w:szCs w:val="18"/>
              </w:rPr>
              <w:t>书籍设计与印刷、版式设计、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AE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城乡规划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  <w:t>工程造价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GYZ2024038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4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城乡规划学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城乡规划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建筑学（建筑设计及其理论、城市设计及理论）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建筑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管理科学与工程（工程管理）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工程管理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有行业从业经历者优先。</w:t>
            </w:r>
          </w:p>
        </w:tc>
        <w:tc>
          <w:tcPr>
            <w:tcW w:w="202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工程力学，结构力学，安装工程识图与施工，安装工程计量与计价，市政园林工程施工技术，市政园林工程计量与计价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GYZ2024039</w:t>
            </w:r>
          </w:p>
        </w:tc>
        <w:tc>
          <w:tcPr>
            <w:tcW w:w="6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GYZ2024040</w:t>
            </w:r>
          </w:p>
        </w:tc>
        <w:tc>
          <w:tcPr>
            <w:tcW w:w="6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GYZ2024041</w:t>
            </w:r>
          </w:p>
        </w:tc>
        <w:tc>
          <w:tcPr>
            <w:tcW w:w="63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人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7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金融与法律学院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经济学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专业专职课教师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GYZ2024042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应用经济学（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区域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与城市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区域经济学、统计学、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国际经济学</w:t>
            </w:r>
          </w:p>
        </w:tc>
        <w:tc>
          <w:tcPr>
            <w:tcW w:w="2027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联系地址：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至善楼三区3204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办公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联系电话：0773-3696326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E-mail：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glxyjfxy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@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163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GYZ2024043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应用经济学（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数字经济学、计量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经济学、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产业经济学）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计量经济学、SPSS应用、当代中国经济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法学专业专职教师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GYZ2024044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法学（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国际公法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、国际私法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、国际经济法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学）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参加过杰赛普（Jessup）国际公法模拟法庭竞赛、贸仲杯（Vis moot）国际商事仲裁竞赛、中国WTO模拟法庭竞赛、国际刑事（ICC)模拟法庭竞赛、贸仲杯国际投资仲裁赛等比赛者优先。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国际投资法、国际贸易法、国际商事仲裁理论与实践、海商法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人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管理工程学院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工商管理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GYZ2024045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博士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工商管理学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企业管理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工商管理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具有较强的科研能力，能够带领团队申请省部级以上项目。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供应链与物流管理、资产评估基础、企业战略 管理</w:t>
            </w:r>
          </w:p>
        </w:tc>
        <w:tc>
          <w:tcPr>
            <w:tcW w:w="2027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联系地址：至善楼三区 3303 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联系人：熊老师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联系电话： 0773-3696011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E-mail：glxygl2023@163.com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GYZ2024046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工商管理学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）／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有计算机专业背景、财务行业工作经历者优先；资深行业人员优先。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大数据技术基础、财务共享规划与设计、高级财务管理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GYZ2024047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工商管理学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会计学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）／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会计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有计算机专业背景、财务行业工作经历者优先；资深行业人员优先。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大数据导论、python数据分析、高级财务会计、管理会计、财务大数据可视化分析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审计学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GYZ2024048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工商管理学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）／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审计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有计算机专业背景优先；有审计行业工作经历者优先；资深行业人员优先。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审计技术与方法、经济责任审计、计算机审计、大数据智能审计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电子商务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GYZ2024049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管理科学与工程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电子商务、市场营销学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具有电子商务行业工作经历者优先；具有计算机专业背景者优先。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电子商务组织与运营、电子商务系统分析与设计、视觉营销、大数据基础导论、数据分析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18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旅游管理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类专业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GYZ2024050</w:t>
            </w:r>
          </w:p>
        </w:tc>
        <w:tc>
          <w:tcPr>
            <w:tcW w:w="63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工商管理学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旅游管理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会展场馆经营与管理、平面设计基础、旅游电子商务、旅游经济学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物流工程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GYZ2024051</w:t>
            </w:r>
          </w:p>
        </w:tc>
        <w:tc>
          <w:tcPr>
            <w:tcW w:w="632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或中级以上职称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，博士优先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管理科学与工程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物流与交通管理、运营与供应链管理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具有工学教育背景优先；有物流行业从业经历者优先。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仓储与库存控制、供应链管理、物流系统规划与设计、物流信息技术、物流项目管理、 物流系统仿真、冷链物流设计与实施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18"/>
                <w:sz w:val="18"/>
                <w:szCs w:val="18"/>
              </w:rPr>
              <w:t>小计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</w:rPr>
              <w:t>7人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——</w:t>
            </w:r>
          </w:p>
        </w:tc>
        <w:tc>
          <w:tcPr>
            <w:tcW w:w="2027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——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restart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体育与健康学院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GYZ2024052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化学（物理化学、化学生物学）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体育心理学、运动生理学、健康教育学</w:t>
            </w:r>
          </w:p>
        </w:tc>
        <w:tc>
          <w:tcPr>
            <w:tcW w:w="2027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联系地址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彰善楼4215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欧老师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联系电话：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15577331216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mail：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tyx0773@163.com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体育教育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公共体育课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GYZ2024053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体育学（民族传统体育学）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（民族传统体育方向）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少数民族传统项目（舞龙舞狮）优先；可承担少数民族传统体育项目2-3项教学及运动队训练。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GYZ2024054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GYZ2024055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体育学（体育教育训练学）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  <w:t>篮球、田径、排球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社会体育指导与管理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公共体育课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GYZ2024056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能胜任体育赛事组织与管理、体育俱乐部经营与管理、体育产业管理及运营等相关课程；有体育管理及体育产业管理及运营工作经验者优先；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体育赛事组织与管理、体育俱乐部经营与管理、体育产业管理及运营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运动康复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GYZ2024057</w:t>
            </w:r>
          </w:p>
        </w:tc>
        <w:tc>
          <w:tcPr>
            <w:tcW w:w="632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体育学（运动人体科学）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专业实践操作能力强并具有行业工作经历者优先。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复治疗技术、孕产康复、体态矫正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GYZ2024058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中医学（针灸学、推拿学）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生物医学工程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康复医学工程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专业实践操作能力强，具有相关工作经历或者行业资格者优先。</w:t>
            </w:r>
          </w:p>
        </w:tc>
        <w:tc>
          <w:tcPr>
            <w:tcW w:w="2024" w:type="dxa"/>
            <w:vMerge w:val="restar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推拿、针灸学、中医基础理论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52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GYZ2024059</w:t>
            </w:r>
          </w:p>
        </w:tc>
        <w:tc>
          <w:tcPr>
            <w:tcW w:w="632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4" w:type="dxa"/>
            <w:vMerge w:val="continue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20" w:type="dxa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continue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28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健康服务与管理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专职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GYZ2024060</w:t>
            </w:r>
          </w:p>
        </w:tc>
        <w:tc>
          <w:tcPr>
            <w:tcW w:w="63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管理科学与工程（医疗与健康管理、服务科学与管理）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 w:bidi="ar"/>
              </w:rPr>
              <w:t>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公共管理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卫生事业管理学、社会保障概论、管理学原理、卫生政策学</w:t>
            </w:r>
          </w:p>
        </w:tc>
        <w:tc>
          <w:tcPr>
            <w:tcW w:w="2027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9人</w:t>
            </w:r>
          </w:p>
        </w:tc>
        <w:tc>
          <w:tcPr>
            <w:tcW w:w="202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bottom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528" w:type="dxa"/>
            <w:vMerge w:val="restart"/>
            <w:tcBorders>
              <w:top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  <w:t>马克思主义学院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bidi="ar"/>
              </w:rPr>
              <w:t>“四史”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GYZ2024059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或副高级以上职称，博士优先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马克思主义理论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>／中共党史党建学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联系地址：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至善楼205办公室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刘老师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联系电话：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0773-3691196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mail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mkszyxy201812@163.com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思想道德与法治课专职教师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GYZ2024060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马克思主义理论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GYZ2024061</w:t>
            </w:r>
          </w:p>
        </w:tc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马克思主义基本原理课专职教师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GYZ2024062</w:t>
            </w:r>
          </w:p>
        </w:tc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硕士以上学位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或副高级以上职称</w:t>
            </w:r>
          </w:p>
        </w:tc>
        <w:tc>
          <w:tcPr>
            <w:tcW w:w="20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马克思主义理论</w:t>
            </w:r>
          </w:p>
        </w:tc>
        <w:tc>
          <w:tcPr>
            <w:tcW w:w="20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GYZ2024063</w:t>
            </w:r>
          </w:p>
        </w:tc>
        <w:tc>
          <w:tcPr>
            <w:tcW w:w="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</w:p>
        </w:tc>
        <w:tc>
          <w:tcPr>
            <w:tcW w:w="202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博士</w:t>
            </w:r>
          </w:p>
        </w:tc>
        <w:tc>
          <w:tcPr>
            <w:tcW w:w="20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小计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  <w:t>5人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——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——</w:t>
            </w: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0"/>
                <w:kern w:val="18"/>
                <w:sz w:val="18"/>
                <w:szCs w:val="18"/>
                <w:lang w:val="en-US" w:eastAsia="zh-CN"/>
              </w:rPr>
              <w:t>合计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65人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contextualSpacing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Times New Roman"/>
          <w:color w:val="auto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eastAsia="宋体" w:cs="Times New Roman"/>
          <w:color w:val="auto"/>
          <w:kern w:val="0"/>
          <w:sz w:val="18"/>
          <w:szCs w:val="18"/>
          <w:lang w:val="en-US" w:eastAsia="zh-CN"/>
        </w:rPr>
        <w:t>注：“学科专业”以中国学位与研究生教育学会最新发布的《研究生教育学科专业简介及其学位基本要求(试行版)》为准。</w:t>
      </w:r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6E776"/>
    <w:multiLevelType w:val="singleLevel"/>
    <w:tmpl w:val="8C96E776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965A6DDA"/>
    <w:multiLevelType w:val="singleLevel"/>
    <w:tmpl w:val="965A6DDA"/>
    <w:lvl w:ilvl="0" w:tentative="0">
      <w:start w:val="5"/>
      <w:numFmt w:val="upperLetter"/>
      <w:suff w:val="nothing"/>
      <w:lvlText w:val="%1-"/>
      <w:lvlJc w:val="left"/>
    </w:lvl>
  </w:abstractNum>
  <w:abstractNum w:abstractNumId="2">
    <w:nsid w:val="D40D725F"/>
    <w:multiLevelType w:val="singleLevel"/>
    <w:tmpl w:val="D40D725F"/>
    <w:lvl w:ilvl="0" w:tentative="0">
      <w:start w:val="5"/>
      <w:numFmt w:val="upperLetter"/>
      <w:suff w:val="nothing"/>
      <w:lvlText w:val="%1-"/>
      <w:lvlJc w:val="left"/>
    </w:lvl>
  </w:abstractNum>
  <w:abstractNum w:abstractNumId="3">
    <w:nsid w:val="EE4640D1"/>
    <w:multiLevelType w:val="singleLevel"/>
    <w:tmpl w:val="EE4640D1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MGU5OTc2ZDQzYTYzNGNhZTViNmExMTk5YThlODYifQ=="/>
  </w:docVars>
  <w:rsids>
    <w:rsidRoot w:val="00940388"/>
    <w:rsid w:val="000134D3"/>
    <w:rsid w:val="00014836"/>
    <w:rsid w:val="000164C5"/>
    <w:rsid w:val="000328D5"/>
    <w:rsid w:val="00046078"/>
    <w:rsid w:val="00057F14"/>
    <w:rsid w:val="00075589"/>
    <w:rsid w:val="000B00CB"/>
    <w:rsid w:val="000B464B"/>
    <w:rsid w:val="000C2E10"/>
    <w:rsid w:val="000E1C6A"/>
    <w:rsid w:val="00114730"/>
    <w:rsid w:val="00120AB8"/>
    <w:rsid w:val="00121E91"/>
    <w:rsid w:val="00155EDD"/>
    <w:rsid w:val="001615C5"/>
    <w:rsid w:val="00170429"/>
    <w:rsid w:val="001A3FEE"/>
    <w:rsid w:val="001B4478"/>
    <w:rsid w:val="001F3A28"/>
    <w:rsid w:val="00200942"/>
    <w:rsid w:val="002057D2"/>
    <w:rsid w:val="00224290"/>
    <w:rsid w:val="00261559"/>
    <w:rsid w:val="00275674"/>
    <w:rsid w:val="002D2B4D"/>
    <w:rsid w:val="002E17D0"/>
    <w:rsid w:val="002E5386"/>
    <w:rsid w:val="002F3E95"/>
    <w:rsid w:val="00317B15"/>
    <w:rsid w:val="00330425"/>
    <w:rsid w:val="0033180E"/>
    <w:rsid w:val="00345DA1"/>
    <w:rsid w:val="00364A2B"/>
    <w:rsid w:val="00366D3A"/>
    <w:rsid w:val="0037207D"/>
    <w:rsid w:val="0038417F"/>
    <w:rsid w:val="004707E4"/>
    <w:rsid w:val="0048226B"/>
    <w:rsid w:val="00486070"/>
    <w:rsid w:val="004B22F6"/>
    <w:rsid w:val="004C5DA5"/>
    <w:rsid w:val="004C5FBF"/>
    <w:rsid w:val="004E7485"/>
    <w:rsid w:val="0052077E"/>
    <w:rsid w:val="00567F3D"/>
    <w:rsid w:val="00583346"/>
    <w:rsid w:val="005B1761"/>
    <w:rsid w:val="005B70FF"/>
    <w:rsid w:val="005C4EF7"/>
    <w:rsid w:val="00602C95"/>
    <w:rsid w:val="006602E5"/>
    <w:rsid w:val="0066542F"/>
    <w:rsid w:val="00680865"/>
    <w:rsid w:val="006A3A58"/>
    <w:rsid w:val="006F3260"/>
    <w:rsid w:val="00745C29"/>
    <w:rsid w:val="00747A4A"/>
    <w:rsid w:val="00752470"/>
    <w:rsid w:val="00756690"/>
    <w:rsid w:val="007570F7"/>
    <w:rsid w:val="00770E10"/>
    <w:rsid w:val="00792DC0"/>
    <w:rsid w:val="007A1A20"/>
    <w:rsid w:val="007B6E58"/>
    <w:rsid w:val="007E1D63"/>
    <w:rsid w:val="008143A3"/>
    <w:rsid w:val="008154FD"/>
    <w:rsid w:val="008372AC"/>
    <w:rsid w:val="0084157D"/>
    <w:rsid w:val="00877803"/>
    <w:rsid w:val="00880D98"/>
    <w:rsid w:val="008C5D3A"/>
    <w:rsid w:val="008D4294"/>
    <w:rsid w:val="008F2077"/>
    <w:rsid w:val="008F5614"/>
    <w:rsid w:val="0092494D"/>
    <w:rsid w:val="00940388"/>
    <w:rsid w:val="00956911"/>
    <w:rsid w:val="00956A4A"/>
    <w:rsid w:val="009774C3"/>
    <w:rsid w:val="009B4869"/>
    <w:rsid w:val="009C00B7"/>
    <w:rsid w:val="009C2BC4"/>
    <w:rsid w:val="009F5F0C"/>
    <w:rsid w:val="00A004B5"/>
    <w:rsid w:val="00A226C8"/>
    <w:rsid w:val="00A2364B"/>
    <w:rsid w:val="00A4448E"/>
    <w:rsid w:val="00A65239"/>
    <w:rsid w:val="00AA77DE"/>
    <w:rsid w:val="00AC1E26"/>
    <w:rsid w:val="00AC4D00"/>
    <w:rsid w:val="00AE77C5"/>
    <w:rsid w:val="00AF0267"/>
    <w:rsid w:val="00AF6222"/>
    <w:rsid w:val="00B03C57"/>
    <w:rsid w:val="00B76A53"/>
    <w:rsid w:val="00B8584F"/>
    <w:rsid w:val="00BA0920"/>
    <w:rsid w:val="00BF09E0"/>
    <w:rsid w:val="00C111B7"/>
    <w:rsid w:val="00C41285"/>
    <w:rsid w:val="00C43876"/>
    <w:rsid w:val="00C44D74"/>
    <w:rsid w:val="00C60C1C"/>
    <w:rsid w:val="00CB216B"/>
    <w:rsid w:val="00CB7430"/>
    <w:rsid w:val="00CC3DF9"/>
    <w:rsid w:val="00CC42B6"/>
    <w:rsid w:val="00CD147B"/>
    <w:rsid w:val="00CE568C"/>
    <w:rsid w:val="00CF059C"/>
    <w:rsid w:val="00CF3082"/>
    <w:rsid w:val="00D17203"/>
    <w:rsid w:val="00D33E8D"/>
    <w:rsid w:val="00D40944"/>
    <w:rsid w:val="00D662A2"/>
    <w:rsid w:val="00DD1743"/>
    <w:rsid w:val="00DD3E75"/>
    <w:rsid w:val="00DF244C"/>
    <w:rsid w:val="00E34D87"/>
    <w:rsid w:val="00EA5A55"/>
    <w:rsid w:val="00ED2E8E"/>
    <w:rsid w:val="00F109EF"/>
    <w:rsid w:val="00F361BC"/>
    <w:rsid w:val="00F36D08"/>
    <w:rsid w:val="00F65EFF"/>
    <w:rsid w:val="00F86CF3"/>
    <w:rsid w:val="00F95B73"/>
    <w:rsid w:val="00FA2E07"/>
    <w:rsid w:val="00FC2B5C"/>
    <w:rsid w:val="00FE0AA2"/>
    <w:rsid w:val="015D296E"/>
    <w:rsid w:val="01797B5A"/>
    <w:rsid w:val="02167213"/>
    <w:rsid w:val="02215E8E"/>
    <w:rsid w:val="02296E92"/>
    <w:rsid w:val="026C79AE"/>
    <w:rsid w:val="035032ED"/>
    <w:rsid w:val="03700F66"/>
    <w:rsid w:val="055661F0"/>
    <w:rsid w:val="0569336D"/>
    <w:rsid w:val="05960784"/>
    <w:rsid w:val="05A84572"/>
    <w:rsid w:val="05FC5431"/>
    <w:rsid w:val="065E1033"/>
    <w:rsid w:val="06CF0C9B"/>
    <w:rsid w:val="07056E9B"/>
    <w:rsid w:val="071851A9"/>
    <w:rsid w:val="0733238E"/>
    <w:rsid w:val="086911D1"/>
    <w:rsid w:val="08A366F8"/>
    <w:rsid w:val="097E542C"/>
    <w:rsid w:val="09D65320"/>
    <w:rsid w:val="0A595065"/>
    <w:rsid w:val="0B147B8E"/>
    <w:rsid w:val="0D2528FE"/>
    <w:rsid w:val="0D6F6154"/>
    <w:rsid w:val="0D8957B3"/>
    <w:rsid w:val="0EF0055F"/>
    <w:rsid w:val="0F04645E"/>
    <w:rsid w:val="0F78463D"/>
    <w:rsid w:val="10A6490A"/>
    <w:rsid w:val="10BA24B9"/>
    <w:rsid w:val="10CD2AE4"/>
    <w:rsid w:val="114C04A7"/>
    <w:rsid w:val="11796647"/>
    <w:rsid w:val="11AD5C4D"/>
    <w:rsid w:val="12411FD6"/>
    <w:rsid w:val="13307316"/>
    <w:rsid w:val="133B7D7C"/>
    <w:rsid w:val="13753329"/>
    <w:rsid w:val="138D1C9B"/>
    <w:rsid w:val="13AD00BD"/>
    <w:rsid w:val="148413C5"/>
    <w:rsid w:val="153156E2"/>
    <w:rsid w:val="15CA538F"/>
    <w:rsid w:val="169365D3"/>
    <w:rsid w:val="17A27A59"/>
    <w:rsid w:val="182561BF"/>
    <w:rsid w:val="18315D33"/>
    <w:rsid w:val="18AB5253"/>
    <w:rsid w:val="18CE2FCC"/>
    <w:rsid w:val="18EB67F8"/>
    <w:rsid w:val="19811784"/>
    <w:rsid w:val="19AF582B"/>
    <w:rsid w:val="1A005641"/>
    <w:rsid w:val="1B4125E8"/>
    <w:rsid w:val="1B61243B"/>
    <w:rsid w:val="1CD20CEA"/>
    <w:rsid w:val="1D8643F5"/>
    <w:rsid w:val="1E222D4C"/>
    <w:rsid w:val="1E4E2AA8"/>
    <w:rsid w:val="1F7A7398"/>
    <w:rsid w:val="1FA15E62"/>
    <w:rsid w:val="209659E2"/>
    <w:rsid w:val="20C65361"/>
    <w:rsid w:val="21241850"/>
    <w:rsid w:val="22774B5C"/>
    <w:rsid w:val="230A60F6"/>
    <w:rsid w:val="23296014"/>
    <w:rsid w:val="23EF2E55"/>
    <w:rsid w:val="24B53E0A"/>
    <w:rsid w:val="24BC7B77"/>
    <w:rsid w:val="24FD1D0A"/>
    <w:rsid w:val="254B6056"/>
    <w:rsid w:val="25761CD5"/>
    <w:rsid w:val="259F50C1"/>
    <w:rsid w:val="25A66303"/>
    <w:rsid w:val="25BC5062"/>
    <w:rsid w:val="26726E38"/>
    <w:rsid w:val="26B654CA"/>
    <w:rsid w:val="26E70EE2"/>
    <w:rsid w:val="27157D3C"/>
    <w:rsid w:val="278D6B53"/>
    <w:rsid w:val="28401A93"/>
    <w:rsid w:val="286B655C"/>
    <w:rsid w:val="28B63A86"/>
    <w:rsid w:val="29BA0AFE"/>
    <w:rsid w:val="2ACF291F"/>
    <w:rsid w:val="2B0008A4"/>
    <w:rsid w:val="2BB405A7"/>
    <w:rsid w:val="2BCA30A7"/>
    <w:rsid w:val="2CDA1AB0"/>
    <w:rsid w:val="2D5F54AA"/>
    <w:rsid w:val="2E7D3C5B"/>
    <w:rsid w:val="2E8E1DE8"/>
    <w:rsid w:val="2E904D11"/>
    <w:rsid w:val="2EDB7B96"/>
    <w:rsid w:val="31B934DF"/>
    <w:rsid w:val="32323179"/>
    <w:rsid w:val="32797827"/>
    <w:rsid w:val="32E97B03"/>
    <w:rsid w:val="338F0D96"/>
    <w:rsid w:val="34027323"/>
    <w:rsid w:val="354734EF"/>
    <w:rsid w:val="355E7F9E"/>
    <w:rsid w:val="356C0F32"/>
    <w:rsid w:val="3691138E"/>
    <w:rsid w:val="36A27AA2"/>
    <w:rsid w:val="37452001"/>
    <w:rsid w:val="375146F8"/>
    <w:rsid w:val="3762783C"/>
    <w:rsid w:val="37873343"/>
    <w:rsid w:val="37D82810"/>
    <w:rsid w:val="38226677"/>
    <w:rsid w:val="39185884"/>
    <w:rsid w:val="39795265"/>
    <w:rsid w:val="39AE23B1"/>
    <w:rsid w:val="39FB69C0"/>
    <w:rsid w:val="3B8079E6"/>
    <w:rsid w:val="3C236307"/>
    <w:rsid w:val="3C29217F"/>
    <w:rsid w:val="3CCA6760"/>
    <w:rsid w:val="3D9C63F6"/>
    <w:rsid w:val="3DC64832"/>
    <w:rsid w:val="3E8D7916"/>
    <w:rsid w:val="3EDD1314"/>
    <w:rsid w:val="3EE518A6"/>
    <w:rsid w:val="3F7752CE"/>
    <w:rsid w:val="3F8309A9"/>
    <w:rsid w:val="40465CAE"/>
    <w:rsid w:val="40E841CE"/>
    <w:rsid w:val="41B41A77"/>
    <w:rsid w:val="42093019"/>
    <w:rsid w:val="42396FB6"/>
    <w:rsid w:val="42553548"/>
    <w:rsid w:val="427741FA"/>
    <w:rsid w:val="428B3D82"/>
    <w:rsid w:val="42FB21C6"/>
    <w:rsid w:val="43B20466"/>
    <w:rsid w:val="44E775BC"/>
    <w:rsid w:val="44F873E6"/>
    <w:rsid w:val="450E3084"/>
    <w:rsid w:val="458C7D01"/>
    <w:rsid w:val="459D4903"/>
    <w:rsid w:val="45D24718"/>
    <w:rsid w:val="464A7BE4"/>
    <w:rsid w:val="46C25DCD"/>
    <w:rsid w:val="46F721FC"/>
    <w:rsid w:val="486F4F32"/>
    <w:rsid w:val="48BC6247"/>
    <w:rsid w:val="48D7764E"/>
    <w:rsid w:val="490E0900"/>
    <w:rsid w:val="497D2EF0"/>
    <w:rsid w:val="497E3AF2"/>
    <w:rsid w:val="49E42B3C"/>
    <w:rsid w:val="4A170020"/>
    <w:rsid w:val="4A6530C0"/>
    <w:rsid w:val="4A795515"/>
    <w:rsid w:val="4AD155DA"/>
    <w:rsid w:val="4ADA20A4"/>
    <w:rsid w:val="4B175004"/>
    <w:rsid w:val="4B6D63DC"/>
    <w:rsid w:val="4C224FD3"/>
    <w:rsid w:val="4DDA05A6"/>
    <w:rsid w:val="4DFD3B0D"/>
    <w:rsid w:val="4E5B3D33"/>
    <w:rsid w:val="4E811256"/>
    <w:rsid w:val="4F675ED1"/>
    <w:rsid w:val="4F993427"/>
    <w:rsid w:val="4FB54DCD"/>
    <w:rsid w:val="504473B3"/>
    <w:rsid w:val="50896261"/>
    <w:rsid w:val="50CF7C89"/>
    <w:rsid w:val="50E643D3"/>
    <w:rsid w:val="51440108"/>
    <w:rsid w:val="51605B1D"/>
    <w:rsid w:val="519805C3"/>
    <w:rsid w:val="5198129E"/>
    <w:rsid w:val="51AA3725"/>
    <w:rsid w:val="51E23F34"/>
    <w:rsid w:val="51F85716"/>
    <w:rsid w:val="53C84524"/>
    <w:rsid w:val="53FB63B0"/>
    <w:rsid w:val="54452CBF"/>
    <w:rsid w:val="54BF5F7C"/>
    <w:rsid w:val="55281DBC"/>
    <w:rsid w:val="55A25229"/>
    <w:rsid w:val="55AA52CE"/>
    <w:rsid w:val="55B57083"/>
    <w:rsid w:val="55E916A5"/>
    <w:rsid w:val="55EF2943"/>
    <w:rsid w:val="586A4703"/>
    <w:rsid w:val="587652C9"/>
    <w:rsid w:val="58EC4703"/>
    <w:rsid w:val="58F42775"/>
    <w:rsid w:val="5995778D"/>
    <w:rsid w:val="5A355EDC"/>
    <w:rsid w:val="5B7B7759"/>
    <w:rsid w:val="5B9C2140"/>
    <w:rsid w:val="5CAC2D2C"/>
    <w:rsid w:val="5E030675"/>
    <w:rsid w:val="5E563B00"/>
    <w:rsid w:val="5F965A0F"/>
    <w:rsid w:val="5FD93156"/>
    <w:rsid w:val="60C417E4"/>
    <w:rsid w:val="621632A7"/>
    <w:rsid w:val="621F65CC"/>
    <w:rsid w:val="628465C5"/>
    <w:rsid w:val="62902F04"/>
    <w:rsid w:val="62BA1047"/>
    <w:rsid w:val="62E22387"/>
    <w:rsid w:val="637723B8"/>
    <w:rsid w:val="638522C2"/>
    <w:rsid w:val="63855E51"/>
    <w:rsid w:val="65955BCC"/>
    <w:rsid w:val="66185C43"/>
    <w:rsid w:val="6693215C"/>
    <w:rsid w:val="66CB6B1F"/>
    <w:rsid w:val="68311D2A"/>
    <w:rsid w:val="68F7194E"/>
    <w:rsid w:val="690067B0"/>
    <w:rsid w:val="69097C4D"/>
    <w:rsid w:val="694D365A"/>
    <w:rsid w:val="69EE7C45"/>
    <w:rsid w:val="6A7E6AE9"/>
    <w:rsid w:val="6BFD54DA"/>
    <w:rsid w:val="6BFE61ED"/>
    <w:rsid w:val="6C1835F5"/>
    <w:rsid w:val="6C794DD8"/>
    <w:rsid w:val="6C9166CD"/>
    <w:rsid w:val="6C936676"/>
    <w:rsid w:val="6D121C7E"/>
    <w:rsid w:val="6D1D391B"/>
    <w:rsid w:val="6D2501F8"/>
    <w:rsid w:val="6D3C270B"/>
    <w:rsid w:val="6D522AE7"/>
    <w:rsid w:val="6E1E3261"/>
    <w:rsid w:val="6E7C2397"/>
    <w:rsid w:val="6FE455E3"/>
    <w:rsid w:val="6FE930C7"/>
    <w:rsid w:val="705018D5"/>
    <w:rsid w:val="70C238F8"/>
    <w:rsid w:val="711439E6"/>
    <w:rsid w:val="71962323"/>
    <w:rsid w:val="71C14A3B"/>
    <w:rsid w:val="722D7D9A"/>
    <w:rsid w:val="72303E45"/>
    <w:rsid w:val="735C59AF"/>
    <w:rsid w:val="740F002C"/>
    <w:rsid w:val="748922C2"/>
    <w:rsid w:val="74D76CB6"/>
    <w:rsid w:val="75E75936"/>
    <w:rsid w:val="76D847DF"/>
    <w:rsid w:val="772406E9"/>
    <w:rsid w:val="77416FC3"/>
    <w:rsid w:val="77530C6D"/>
    <w:rsid w:val="77667976"/>
    <w:rsid w:val="77BD43AF"/>
    <w:rsid w:val="781A0BC5"/>
    <w:rsid w:val="784A3390"/>
    <w:rsid w:val="7A097728"/>
    <w:rsid w:val="7A416F6E"/>
    <w:rsid w:val="7A7615D3"/>
    <w:rsid w:val="7C6260A1"/>
    <w:rsid w:val="7CBB555D"/>
    <w:rsid w:val="7CF21641"/>
    <w:rsid w:val="7D1A1AB6"/>
    <w:rsid w:val="7DB86B8A"/>
    <w:rsid w:val="7DFD04E6"/>
    <w:rsid w:val="7EC24615"/>
    <w:rsid w:val="7F234E4A"/>
    <w:rsid w:val="7F607472"/>
    <w:rsid w:val="7F873FFA"/>
    <w:rsid w:val="7FA842DB"/>
    <w:rsid w:val="7FD3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paragraph" w:styleId="8">
    <w:name w:val="Body Text First Indent"/>
    <w:basedOn w:val="4"/>
    <w:next w:val="1"/>
    <w:qFormat/>
    <w:uiPriority w:val="0"/>
    <w:pPr>
      <w:ind w:firstLine="640" w:firstLineChars="200"/>
    </w:pPr>
  </w:style>
  <w:style w:type="table" w:styleId="10">
    <w:name w:val="Table Grid"/>
    <w:basedOn w:val="9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标题 1 字符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font31"/>
    <w:basedOn w:val="11"/>
    <w:qFormat/>
    <w:uiPriority w:val="0"/>
    <w:rPr>
      <w:rFonts w:hint="eastAsia" w:ascii="宋体" w:hAnsi="宋体" w:eastAsia="宋体" w:cs="宋体"/>
      <w:b/>
      <w:bCs/>
      <w:color w:val="7030A0"/>
      <w:sz w:val="18"/>
      <w:szCs w:val="18"/>
      <w:u w:val="single"/>
    </w:rPr>
  </w:style>
  <w:style w:type="character" w:customStyle="1" w:styleId="17">
    <w:name w:val="font11"/>
    <w:basedOn w:val="1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519</Characters>
  <Lines>4</Lines>
  <Paragraphs>1</Paragraphs>
  <TotalTime>9</TotalTime>
  <ScaleCrop>false</ScaleCrop>
  <LinksUpToDate>false</LinksUpToDate>
  <CharactersWithSpaces>609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2021-06-28T00:41:00Z</dcterms:created>
  <dc:creator>ljxy ljxy</dc:creator>
  <cp:lastModifiedBy>牵挂1393596937</cp:lastModifiedBy>
  <dcterms:modified xsi:type="dcterms:W3CDTF">2024-02-19T02:50:00Z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20555E00152140B88D7B68300A970F83_13</vt:lpwstr>
  </property>
</Properties>
</file>