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00"/>
        <w:jc w:val="center"/>
        <w:rPr>
          <w:rFonts w:hint="eastAsia" w:ascii="微软雅黑" w:hAnsi="微软雅黑" w:eastAsia="微软雅黑" w:cs="微软雅黑"/>
          <w:i w:val="0"/>
          <w:iCs w:val="0"/>
          <w:caps w:val="0"/>
          <w:color w:val="333333"/>
          <w:spacing w:val="0"/>
          <w:sz w:val="20"/>
          <w:szCs w:val="20"/>
        </w:rPr>
      </w:pPr>
      <w:r>
        <w:rPr>
          <w:rFonts w:hint="eastAsia" w:ascii="微软雅黑" w:hAnsi="微软雅黑" w:eastAsia="微软雅黑" w:cs="微软雅黑"/>
          <w:i w:val="0"/>
          <w:iCs w:val="0"/>
          <w:caps w:val="0"/>
          <w:color w:val="333333"/>
          <w:spacing w:val="0"/>
          <w:sz w:val="20"/>
          <w:szCs w:val="20"/>
          <w:bdr w:val="none" w:color="auto" w:sz="0" w:space="0"/>
          <w:shd w:val="clear" w:fill="FFFFFF"/>
        </w:rPr>
        <w:t>桐梓县2022年特岗教师招聘岗位学历专业要求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根据《贵州省2022年“特岗计划”实施方案》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桐梓县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其他院校本科:小学教育(取得英语教师资格或全科教师资格,限报小学英语)、英语翻译、英语教育、经贸英语、商务英语、外贸英语、英语、旅游英语、应用英语。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其他院校本科:小学教育(取得音乐教师资格或全科教师资格,限报小学音乐)、基础教育、音乐教育、音乐表演、舞蹈表演与编导、戏曲表演、舞台艺术设计。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 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七、信息技术(取得报考学段及以上信息技术类教师资格)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八、心理健康(取得报考学段及以上心理健康教育、心理健康教师资格)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其他院校本科:心理健康教育、应用心理学、心理学。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九、幼儿园(取得幼儿园教师资格或中职学前教育教师资格)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本科二级学科:学前教育。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 w:afterAutospacing="0" w:line="4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4. 《普通高等学校本科专业目录新旧专业对照表》2012版、《普通高等学校高等职业教育(专科)专业目录新旧专业对照表》中新二级学科专业包含的原二级学科专业,按新二级学科专业对待。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7E877E70"/>
    <w:rsid w:val="7E87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2022-06-29T03:00:00Z</dcterms:created>
  <dc:creator>huatu</dc:creator>
  <cp:lastModifiedBy>huatu</cp:lastModifiedBy>
  <dcterms:modified xsi:type="dcterms:W3CDTF">2022-06-29T03:00:56Z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76CE8F33CEB140C08AB28CC2790F0B8E</vt:lpwstr>
  </property>
</Properties>
</file>