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9F" w:rsidRDefault="00A0349F" w:rsidP="00A0349F">
      <w:pPr>
        <w:widowControl/>
        <w:rPr>
          <w:rFonts w:ascii="宋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1</w:t>
      </w:r>
    </w:p>
    <w:p w:rsidR="00A0349F" w:rsidRDefault="00A0349F" w:rsidP="00A0349F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                  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4"/>
        </w:rPr>
        <w:t> 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高层次人才引进政策一览表</w:t>
      </w:r>
      <w:bookmarkEnd w:id="0"/>
    </w:p>
    <w:tbl>
      <w:tblPr>
        <w:tblW w:w="13884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790"/>
        <w:gridCol w:w="1754"/>
        <w:gridCol w:w="1559"/>
        <w:gridCol w:w="1417"/>
        <w:gridCol w:w="2268"/>
        <w:gridCol w:w="2552"/>
      </w:tblGrid>
      <w:tr w:rsidR="00A0349F" w:rsidTr="006D600D">
        <w:trPr>
          <w:trHeight w:val="450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人才类别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科研启动费</w:t>
            </w:r>
          </w:p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购房安家补贴</w:t>
            </w:r>
          </w:p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职称政策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年收入</w:t>
            </w:r>
          </w:p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家属政策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资助政策</w:t>
            </w:r>
          </w:p>
        </w:tc>
      </w:tr>
      <w:tr w:rsidR="00A0349F" w:rsidTr="006D600D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领军人才一类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国家级高层次人才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30-60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100-200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100-120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聘教授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＞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符合条件配偶或子女随调；配备助手等科研条件。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提供校内过渡房；符合条件人才可购置限价房、可享受省级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ABC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人才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25-50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万元补助</w:t>
            </w:r>
            <w:r>
              <w:rPr>
                <w:rFonts w:ascii="宋体" w:eastAsia="仿宋_GB2312" w:hAnsi="宋体" w:cs="宋体" w:hint="eastAsia"/>
                <w:color w:val="0000FF"/>
                <w:kern w:val="0"/>
                <w:szCs w:val="21"/>
              </w:rPr>
              <w:t>；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享受三明市教授、博士津贴，市优秀人才津贴及其他人才奖励、科研奖励、人才公寓、干部保健等政策。</w:t>
            </w:r>
          </w:p>
        </w:tc>
      </w:tr>
      <w:tr w:rsidR="00A0349F" w:rsidTr="006D600D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领军人才二类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省部级高层次人才</w:t>
            </w: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eastAsia="仿宋_GB2312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-30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40-80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60-80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聘教授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＞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349F" w:rsidTr="006D600D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学科带头人类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（博士学位教授或副教授）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50-53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聘教授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＞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符合条件配偶随调或安置（调入条件：配偶原则上应属于行政或事业单位；安置条件：配偶原则上应具有全日制本科及以上学历）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349F" w:rsidTr="006D600D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学术骨干一类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（教授或博士学位副教授）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仿宋_GB2312" w:hAnsi="宋体" w:cs="宋体"/>
                <w:color w:val="000000"/>
                <w:kern w:val="0"/>
                <w:szCs w:val="21"/>
              </w:rPr>
              <w:t>0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40-43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聘教授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或副教授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＞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349F" w:rsidTr="006D600D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学术骨干二类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（紧缺专业或优秀博士）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33-36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校副教授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先聘后评，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聘期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349F" w:rsidTr="006D600D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学术骨干三类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（一般博士）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eastAsia="仿宋_GB2312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28-31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349F" w:rsidTr="006D600D">
        <w:trPr>
          <w:trHeight w:val="63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人才特区</w:t>
            </w: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349F" w:rsidRDefault="00A0349F" w:rsidP="006D600D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美丽中国发展研究院设置绿色智能制造、生态化工、生态康养、生态治理、生态文创等研究方向，支持申请“金凤凰学者”岗位，提供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200-700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万元建设及运行经费。特别优秀的高层次人才、实行“一人一策”，享受相应待遇。有意向者可通过邮件索取资料。</w:t>
            </w:r>
          </w:p>
        </w:tc>
      </w:tr>
    </w:tbl>
    <w:p w:rsidR="00A0349F" w:rsidRDefault="00A0349F" w:rsidP="00A0349F">
      <w:pPr>
        <w:widowControl/>
        <w:shd w:val="clear" w:color="auto" w:fill="FFFFFF"/>
        <w:jc w:val="left"/>
        <w:rPr>
          <w:rFonts w:ascii="宋体" w:eastAsia="仿宋_GB2312" w:hAnsi="宋体" w:cs="宋体"/>
          <w:color w:val="333333"/>
          <w:kern w:val="0"/>
          <w:sz w:val="24"/>
          <w:szCs w:val="24"/>
        </w:rPr>
      </w:pPr>
      <w:r>
        <w:rPr>
          <w:rFonts w:ascii="宋体" w:eastAsia="仿宋_GB2312" w:hAnsi="宋体" w:cs="宋体" w:hint="eastAsia"/>
          <w:color w:val="333333"/>
          <w:kern w:val="0"/>
          <w:sz w:val="24"/>
          <w:szCs w:val="24"/>
        </w:rPr>
        <w:t>注：硕士专任教师享受同工同酬待遇，两年后考核优秀者办理入编。</w:t>
      </w:r>
    </w:p>
    <w:p w:rsidR="00A0349F" w:rsidRPr="00A0349F" w:rsidRDefault="00A0349F"/>
    <w:sectPr w:rsidR="00A0349F" w:rsidRPr="00A0349F"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F"/>
    <w:rsid w:val="00A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69D5A-2353-44BD-A84A-D20C2911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2021-12-21T01:46:00Z</dcterms:created>
  <dcterms:modified xsi:type="dcterms:W3CDTF">2021-12-21T01:47:00Z</dcterms:modified>
</cp:coreProperties>
</file>